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9"/>
        <w:jc w:val="right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ind w:firstLine="709"/>
        <w:jc w:val="right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Директор ОГБН ОО «ДТДМ»</w:t>
      </w:r>
    </w:p>
    <w:p w:rsidR="00000000" w:rsidDel="00000000" w:rsidP="00000000" w:rsidRDefault="00000000" w:rsidRPr="00000000" w14:paraId="00000003">
      <w:pPr>
        <w:ind w:firstLine="709"/>
        <w:jc w:val="right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______________Т.В. Галушкина</w:t>
      </w:r>
    </w:p>
    <w:p w:rsidR="00000000" w:rsidDel="00000000" w:rsidP="00000000" w:rsidRDefault="00000000" w:rsidRPr="00000000" w14:paraId="00000004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7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о проведении Открытого турнира по большому теннису, </w:t>
      </w:r>
    </w:p>
    <w:p w:rsidR="00000000" w:rsidDel="00000000" w:rsidP="00000000" w:rsidRDefault="00000000" w:rsidRPr="00000000" w14:paraId="00000008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приуроченного к Всероссийскому Олимпийскому дню</w:t>
      </w:r>
    </w:p>
    <w:p w:rsidR="00000000" w:rsidDel="00000000" w:rsidP="00000000" w:rsidRDefault="00000000" w:rsidRPr="00000000" w14:paraId="00000009">
      <w:pPr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B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1.1. Настоящее положение определяет порядок организации и проведения Открытого турнира по большому теннису, приуроченного к Всероссийскому Олимпийскому дню (далее - Турнир).</w:t>
      </w:r>
    </w:p>
    <w:p w:rsidR="00000000" w:rsidDel="00000000" w:rsidP="00000000" w:rsidRDefault="00000000" w:rsidRPr="00000000" w14:paraId="0000000C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1.2. Организатором Турнира является Областная государственная бюджетная нетиповая образовательная организация «Дворец творчества детей</w:t>
        <w:br w:type="textWrapping"/>
        <w:t xml:space="preserve">и молодёжи».</w:t>
      </w:r>
    </w:p>
    <w:p w:rsidR="00000000" w:rsidDel="00000000" w:rsidP="00000000" w:rsidRDefault="00000000" w:rsidRPr="00000000" w14:paraId="0000000D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1.3. Цель Турнира:</w:t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развитие и популяризация большого тенниса в Ульяновской области;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воспитание физических и морально-волевых качеств обучающихся;</w:t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привлечение детей и подростков к занятиям большим теннисом;</w:t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пропаганда олимпийского движения в Ульяновской области;</w:t>
      </w:r>
    </w:p>
    <w:p w:rsidR="00000000" w:rsidDel="00000000" w:rsidP="00000000" w:rsidRDefault="00000000" w:rsidRPr="00000000" w14:paraId="00000012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- пропаганда здорового образа жизни.</w:t>
      </w:r>
    </w:p>
    <w:p w:rsidR="00000000" w:rsidDel="00000000" w:rsidP="00000000" w:rsidRDefault="00000000" w:rsidRPr="00000000" w14:paraId="00000013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2. Участники Турнира</w:t>
      </w:r>
    </w:p>
    <w:p w:rsidR="00000000" w:rsidDel="00000000" w:rsidP="00000000" w:rsidRDefault="00000000" w:rsidRPr="00000000" w14:paraId="00000015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2.1 Участниками Турнира являются:</w:t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мальчики и девочки  от 8 до 11 лет, </w:t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мальчики и девочки от 12 до 14 лет,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- юноши и девушки от 15 до 17 лет. </w:t>
      </w:r>
    </w:p>
    <w:p w:rsidR="00000000" w:rsidDel="00000000" w:rsidP="00000000" w:rsidRDefault="00000000" w:rsidRPr="00000000" w14:paraId="00000019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3.Условия проведения Турнира</w:t>
      </w:r>
    </w:p>
    <w:p w:rsidR="00000000" w:rsidDel="00000000" w:rsidP="00000000" w:rsidRDefault="00000000" w:rsidRPr="00000000" w14:paraId="0000001B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3.1. Турнир проводится «___»  июня 2022 г.  на теннисных кортах ОГБН ОО «Дворец творчества детей и молодёжи» по адресу: г. Ульяновск, </w:t>
        <w:br w:type="textWrapping"/>
        <w:t xml:space="preserve">ул. Минаева, д.50, начало Турнира в 10.00, начало регистрации участников Турнира в 09.00.  </w:t>
      </w:r>
    </w:p>
    <w:p w:rsidR="00000000" w:rsidDel="00000000" w:rsidP="00000000" w:rsidRDefault="00000000" w:rsidRPr="00000000" w14:paraId="0000001C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3.2. . Регламент Турнира:</w:t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9.30 - 10.00 - жеребьёвка участников;</w:t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10.00 – 13.00 - </w:t>
        <w:tab/>
        <w:t xml:space="preserve">Турнир;</w:t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13.00 - 13.30 - </w:t>
        <w:tab/>
        <w:t xml:space="preserve">награждение призёров и победителей Турнира.</w:t>
      </w:r>
    </w:p>
    <w:p w:rsidR="00000000" w:rsidDel="00000000" w:rsidP="00000000" w:rsidRDefault="00000000" w:rsidRPr="00000000" w14:paraId="00000020">
      <w:pPr>
        <w:tabs>
          <w:tab w:val="left" w:pos="-2700"/>
        </w:tabs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3.3. Главный судья Турнира </w:t>
      </w:r>
      <w:r w:rsidDel="00000000" w:rsidR="00000000" w:rsidRPr="00000000">
        <w:rPr>
          <w:rFonts w:ascii="PT Astra Serif" w:cs="PT Astra Serif" w:eastAsia="PT Astra Serif" w:hAnsi="PT Astra Serif"/>
          <w:rtl w:val="0"/>
        </w:rPr>
        <w:t xml:space="preserve">– </w:t>
      </w: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Самсонов Валерий Александрович (педагог дополнительного образования ОГБН ОО «ДТДМ», заслуженный учитель РФ), контактные данные 8-908-479-70-46.</w:t>
      </w:r>
    </w:p>
    <w:p w:rsidR="00000000" w:rsidDel="00000000" w:rsidP="00000000" w:rsidRDefault="00000000" w:rsidRPr="00000000" w14:paraId="00000021">
      <w:pPr>
        <w:ind w:firstLine="708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3.5. Соревнования проводятся по олимпийской системе.</w:t>
      </w:r>
    </w:p>
    <w:p w:rsidR="00000000" w:rsidDel="00000000" w:rsidP="00000000" w:rsidRDefault="00000000" w:rsidRPr="00000000" w14:paraId="00000022">
      <w:pPr>
        <w:ind w:firstLine="708"/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sz w:val="28"/>
          <w:szCs w:val="28"/>
          <w:rtl w:val="0"/>
        </w:rPr>
        <w:t xml:space="preserve">4. Подведение итогов, награждение</w:t>
      </w:r>
    </w:p>
    <w:p w:rsidR="00000000" w:rsidDel="00000000" w:rsidP="00000000" w:rsidRDefault="00000000" w:rsidRPr="00000000" w14:paraId="00000024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4.1. Победитель и призёры в личном зачёте определяются в каждой возрастной группе отдельно.</w:t>
      </w:r>
    </w:p>
    <w:p w:rsidR="00000000" w:rsidDel="00000000" w:rsidP="00000000" w:rsidRDefault="00000000" w:rsidRPr="00000000" w14:paraId="00000025">
      <w:pPr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ab/>
        <w:t xml:space="preserve">4.2. Победители и призёры награждаются грамотами  ОГБН ОО «Дворец творчества детей и молодёжи».</w:t>
      </w:r>
    </w:p>
    <w:p w:rsidR="00000000" w:rsidDel="00000000" w:rsidP="00000000" w:rsidRDefault="00000000" w:rsidRPr="00000000" w14:paraId="00000026">
      <w:pPr>
        <w:jc w:val="both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09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103"/>
        </w:tabs>
        <w:ind w:firstLine="567"/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0206"/>
        </w:tabs>
        <w:jc w:val="both"/>
        <w:rPr>
          <w:rFonts w:ascii="PT Astra Serif" w:cs="PT Astra Serif" w:eastAsia="PT Astra Serif" w:hAnsi="PT Astra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103"/>
        </w:tabs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tabs>
                <w:tab w:val="left" w:pos="5103"/>
              </w:tabs>
              <w:jc w:val="both"/>
              <w:rPr>
                <w:rFonts w:ascii="PT Astra Serif" w:cs="PT Astra Serif" w:eastAsia="PT Astra Serif" w:hAnsi="PT Astra Serif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5103"/>
        </w:tabs>
        <w:ind w:firstLine="284"/>
        <w:jc w:val="center"/>
        <w:rPr>
          <w:rFonts w:ascii="PT Astra Serif" w:cs="PT Astra Serif" w:eastAsia="PT Astra Serif" w:hAnsi="PT Astra Seri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103"/>
        </w:tabs>
        <w:ind w:firstLine="284"/>
        <w:jc w:val="center"/>
        <w:rPr>
          <w:rFonts w:ascii="PT Astra Serif" w:cs="PT Astra Serif" w:eastAsia="PT Astra Serif" w:hAnsi="PT Astra Serif"/>
          <w:sz w:val="22"/>
          <w:szCs w:val="22"/>
        </w:rPr>
      </w:pPr>
      <w:r w:rsidDel="00000000" w:rsidR="00000000" w:rsidRPr="00000000">
        <w:rPr>
          <w:rFonts w:ascii="PT Astra Serif" w:cs="PT Astra Serif" w:eastAsia="PT Astra Serif" w:hAnsi="PT Astra Serif"/>
          <w:sz w:val="28"/>
          <w:szCs w:val="28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T Astra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